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7FF3" w14:textId="77777777" w:rsidR="00AA2D51" w:rsidRDefault="001C7748" w:rsidP="00AA2D5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A90618" wp14:editId="756645D6">
            <wp:simplePos x="0" y="0"/>
            <wp:positionH relativeFrom="page">
              <wp:posOffset>288062</wp:posOffset>
            </wp:positionH>
            <wp:positionV relativeFrom="page">
              <wp:posOffset>140067</wp:posOffset>
            </wp:positionV>
            <wp:extent cx="1374008" cy="7345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08" cy="734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37C06" w14:textId="77777777" w:rsidR="00AA2D51" w:rsidRDefault="00AA2D51" w:rsidP="00AA2D5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2F19B7A4" w14:textId="0E61704C" w:rsidR="008679A2" w:rsidRPr="009C5504" w:rsidRDefault="001C7748" w:rsidP="009C5504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8"/>
        </w:rPr>
        <w:t xml:space="preserve">HIMSS23 </w:t>
      </w:r>
      <w:r w:rsidR="002D618C">
        <w:rPr>
          <w:rFonts w:ascii="Century Gothic" w:hAnsi="Century Gothic"/>
          <w:b/>
          <w:sz w:val="28"/>
        </w:rPr>
        <w:t xml:space="preserve">Patient Engagement 365 </w:t>
      </w:r>
      <w:r w:rsidR="00413AD4">
        <w:rPr>
          <w:rFonts w:ascii="Century Gothic" w:hAnsi="Century Gothic"/>
          <w:b/>
          <w:sz w:val="28"/>
        </w:rPr>
        <w:t>Overall Sponsorship</w:t>
      </w:r>
    </w:p>
    <w:p w14:paraId="08A6D0AB" w14:textId="77777777" w:rsidR="008679A2" w:rsidRPr="008679A2" w:rsidRDefault="008679A2" w:rsidP="008679A2">
      <w:pPr>
        <w:spacing w:after="0" w:line="240" w:lineRule="auto"/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13AD4" w14:paraId="65B50D6A" w14:textId="77777777" w:rsidTr="00A4438A">
        <w:tc>
          <w:tcPr>
            <w:tcW w:w="10525" w:type="dxa"/>
            <w:shd w:val="clear" w:color="auto" w:fill="00B0F0"/>
          </w:tcPr>
          <w:p w14:paraId="4C1BE88B" w14:textId="37F811DB" w:rsidR="00413AD4" w:rsidRPr="008679A2" w:rsidRDefault="00413AD4" w:rsidP="00413AD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Sponsorship Benefits </w:t>
            </w:r>
            <w:r w:rsidR="0056661E">
              <w:rPr>
                <w:rFonts w:ascii="Century Gothic" w:hAnsi="Century Gothic"/>
                <w:b/>
              </w:rPr>
              <w:t>- Exclusive</w:t>
            </w:r>
          </w:p>
        </w:tc>
      </w:tr>
      <w:tr w:rsidR="00413AD4" w14:paraId="384A66AF" w14:textId="77777777" w:rsidTr="00A4438A">
        <w:tc>
          <w:tcPr>
            <w:tcW w:w="10525" w:type="dxa"/>
          </w:tcPr>
          <w:p w14:paraId="607D2838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Exhibition Space</w:t>
            </w:r>
            <w:r w:rsidRPr="000323AE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:</w:t>
            </w:r>
          </w:p>
          <w:p w14:paraId="3B9DECCA" w14:textId="2CC6FAC0" w:rsidR="00413AD4" w:rsidRPr="00F739EA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20’ x </w:t>
            </w:r>
            <w:r w:rsidR="00130AA8"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2</w:t>
            </w: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0’ space in </w:t>
            </w:r>
            <w:r w:rsidR="002D618C"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Patient Engagement 365 Pavilion</w:t>
            </w: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 to build out for exhibition presence.</w:t>
            </w:r>
          </w:p>
          <w:p w14:paraId="3491DC59" w14:textId="6EB973AC" w:rsidR="00413AD4" w:rsidRPr="00F739EA" w:rsidRDefault="00413AD4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Includes carpeting, electrical, internet, monitors and turnkey booth</w:t>
            </w:r>
          </w:p>
          <w:p w14:paraId="5B977C87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</w:p>
          <w:p w14:paraId="6A50573F" w14:textId="48A29FB6" w:rsidR="0056661E" w:rsidRPr="000323AE" w:rsidRDefault="0056661E" w:rsidP="0056661E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Branding/Awareness</w:t>
            </w:r>
          </w:p>
          <w:p w14:paraId="0CA110DD" w14:textId="09582283" w:rsidR="0056661E" w:rsidRDefault="0056661E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Recognition as the HIMSS23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 Pavilion O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verall Sponsor</w:t>
            </w:r>
          </w:p>
          <w:p w14:paraId="0690DE2C" w14:textId="77777777" w:rsidR="00F739EA" w:rsidRDefault="00F739EA" w:rsidP="00F739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Digital Display  - Signature Level:</w:t>
            </w:r>
          </w:p>
          <w:p w14:paraId="7EA7F37B" w14:textId="77777777" w:rsidR="00F739EA" w:rsidRDefault="00F739EA" w:rsidP="00F739E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08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 mix of digital units across HIMSS channels and devices before, during and/or after HIMSS23 Conference.</w:t>
            </w:r>
          </w:p>
          <w:p w14:paraId="1530A75A" w14:textId="0C34AA0D" w:rsidR="00F739EA" w:rsidRPr="00F739EA" w:rsidRDefault="00F739EA" w:rsidP="00F739E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50,000 Run of HIMSS Networks</w:t>
            </w:r>
          </w:p>
          <w:p w14:paraId="2904DC0C" w14:textId="565119E6" w:rsidR="002D618C" w:rsidRPr="00F739EA" w:rsidRDefault="00413AD4" w:rsidP="005B2A1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on reception desks and theaters in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 Pavilion</w:t>
            </w:r>
          </w:p>
          <w:p w14:paraId="6DD9F5FC" w14:textId="68A20F8A" w:rsidR="00413AD4" w:rsidRPr="00F739EA" w:rsidRDefault="00413AD4" w:rsidP="005B2A1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recognition on all pre-conference communications regarding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 Pavilion</w:t>
            </w:r>
          </w:p>
          <w:p w14:paraId="79A8D5D7" w14:textId="1051E582" w:rsidR="00413AD4" w:rsidRPr="00F739EA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on all Global Conference exhibit hall electronic entrance units featuring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Pavilion 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– four (4) minute rotation</w:t>
            </w:r>
          </w:p>
          <w:p w14:paraId="6C8AE074" w14:textId="77777777" w:rsidR="0056661E" w:rsidRPr="00F739EA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recognition on HIMSS Specialty Pavilion signage located throughout exhibition hall – minimum of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eight (8) locations</w:t>
            </w:r>
          </w:p>
          <w:p w14:paraId="55DDBF40" w14:textId="704F53D8" w:rsidR="0056661E" w:rsidRPr="000323AE" w:rsidRDefault="0056661E" w:rsidP="00F739EA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09CBB297" w14:textId="77777777" w:rsidR="00E13D5C" w:rsidRPr="00C459E7" w:rsidRDefault="00E13D5C" w:rsidP="00E13D5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Pr="00C459E7">
              <w:rPr>
                <w:rFonts w:ascii="Century Gothic" w:hAnsi="Century Gothic" w:cstheme="minorHAnsi"/>
                <w:b/>
                <w:sz w:val="20"/>
                <w:szCs w:val="20"/>
              </w:rPr>
              <w:t>Enhanced Exhibitor Listing via Show Directory &amp; HIMSS23 Floor Plan Including:</w:t>
            </w:r>
          </w:p>
          <w:p w14:paraId="668EFED1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Sponsor Contact Info, Website, Company Description, Product Categories, Logo</w:t>
            </w:r>
          </w:p>
          <w:p w14:paraId="16D283B7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Booth Number with Active Link to Floorplan</w:t>
            </w:r>
          </w:p>
          <w:p w14:paraId="2513AEF1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Two (2) Images in New Product Gallery </w:t>
            </w:r>
          </w:p>
          <w:p w14:paraId="7F2B1483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Two (2) Videos in Product Gallery</w:t>
            </w:r>
          </w:p>
          <w:p w14:paraId="32BED1F0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Appointment Scheduling </w:t>
            </w:r>
          </w:p>
          <w:p w14:paraId="5D88B0D6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Six (6) Scheduled Events (promote theater session, happy hour, etc.)</w:t>
            </w:r>
          </w:p>
          <w:p w14:paraId="5FF4FAF9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Two (2) Virtual Business Cards for Chat</w:t>
            </w:r>
          </w:p>
          <w:p w14:paraId="544D1E9D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Six (6) Pieces of collateral (Press releases, blog posts, white paper, etc.)</w:t>
            </w:r>
          </w:p>
          <w:p w14:paraId="2D9C460D" w14:textId="77777777" w:rsidR="00E13D5C" w:rsidRPr="00F739EA" w:rsidRDefault="00E13D5C" w:rsidP="00F739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F739EA">
              <w:rPr>
                <w:rFonts w:ascii="Century Gothic" w:eastAsia="Times New Roman" w:hAnsi="Century Gothic" w:cs="Arial"/>
                <w:sz w:val="18"/>
                <w:szCs w:val="18"/>
              </w:rPr>
              <w:t>Access to Leads</w:t>
            </w:r>
          </w:p>
          <w:p w14:paraId="454A6D2B" w14:textId="7EC39A2F" w:rsidR="00413AD4" w:rsidRPr="000323AE" w:rsidRDefault="00413AD4" w:rsidP="0056661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17470AA9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Thought leadership presentation:</w:t>
            </w:r>
          </w:p>
          <w:p w14:paraId="534AF1DF" w14:textId="74E093D6" w:rsidR="00413AD4" w:rsidRPr="00F739EA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Three (3)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presentations/twenty (20) 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minutes 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each 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 the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 Pavilion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.</w:t>
            </w:r>
          </w:p>
          <w:p w14:paraId="7D2DDD63" w14:textId="4B2D7095" w:rsidR="00413AD4" w:rsidRPr="00F739EA" w:rsidRDefault="00413AD4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Must be education topic focused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around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topics.</w:t>
            </w:r>
          </w:p>
          <w:p w14:paraId="639315F3" w14:textId="60BFCC21" w:rsidR="00413AD4" w:rsidRPr="00F739EA" w:rsidRDefault="00413AD4" w:rsidP="00130AA8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Tuesday, 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18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11:45am – 12:05pm</w:t>
            </w:r>
          </w:p>
          <w:p w14:paraId="1CBDF634" w14:textId="599F3A2F" w:rsidR="00413AD4" w:rsidRPr="00F739EA" w:rsidRDefault="00413AD4" w:rsidP="00130AA8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Wednesday, 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19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F739EA">
              <w:rPr>
                <w:rFonts w:ascii="Century Gothic" w:hAnsi="Century Gothic" w:cstheme="minorHAnsi"/>
                <w:color w:val="000000"/>
                <w:sz w:val="11"/>
                <w:szCs w:val="13"/>
              </w:rPr>
              <w:t xml:space="preserve"> </w:t>
            </w: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11:15am – 11:35am</w:t>
            </w:r>
          </w:p>
          <w:p w14:paraId="3E9AE416" w14:textId="5D912860" w:rsidR="00413AD4" w:rsidRPr="00F739EA" w:rsidRDefault="00413AD4" w:rsidP="00130AA8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Thursday, 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20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F739EA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10:15am – 10:35am</w:t>
            </w:r>
          </w:p>
          <w:p w14:paraId="24C6C2D8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</w:p>
          <w:p w14:paraId="22CFCE32" w14:textId="5D09C694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Networking/Traffic Driver:</w:t>
            </w:r>
          </w:p>
          <w:p w14:paraId="6EDBAFBC" w14:textId="0FFA63AD" w:rsidR="00B91EBC" w:rsidRPr="00F739EA" w:rsidRDefault="00B91EBC" w:rsidP="00B91EB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8"/>
                <w:szCs w:val="20"/>
              </w:rPr>
            </w:pPr>
            <w:r w:rsidRPr="00F739EA">
              <w:rPr>
                <w:rFonts w:ascii="Century Gothic" w:hAnsi="Century Gothic"/>
                <w:sz w:val="18"/>
                <w:szCs w:val="20"/>
              </w:rPr>
              <w:t>Session information listed in printed guide onsite, HIMSS Global Conference website and mobile app</w:t>
            </w:r>
          </w:p>
          <w:p w14:paraId="6D7F8336" w14:textId="6B13BA37" w:rsidR="00130AA8" w:rsidRPr="00F739EA" w:rsidRDefault="00130AA8" w:rsidP="00130AA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F739EA">
              <w:rPr>
                <w:rFonts w:ascii="Century Gothic" w:hAnsi="Century Gothic"/>
                <w:sz w:val="18"/>
                <w:szCs w:val="20"/>
              </w:rPr>
              <w:t xml:space="preserve">Sponsor of </w:t>
            </w:r>
            <w:r w:rsidR="002D618C" w:rsidRPr="00F739EA">
              <w:rPr>
                <w:rFonts w:ascii="Century Gothic" w:hAnsi="Century Gothic"/>
                <w:sz w:val="18"/>
                <w:szCs w:val="20"/>
              </w:rPr>
              <w:t>Patient Engagement 365</w:t>
            </w:r>
            <w:r w:rsidR="0088647A" w:rsidRPr="00F739EA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F739EA">
              <w:rPr>
                <w:rFonts w:ascii="Century Gothic" w:hAnsi="Century Gothic"/>
                <w:sz w:val="18"/>
                <w:szCs w:val="20"/>
              </w:rPr>
              <w:t>Reception</w:t>
            </w:r>
          </w:p>
          <w:p w14:paraId="4FD9B2A4" w14:textId="2FD35F6B" w:rsidR="00130AA8" w:rsidRPr="00F739EA" w:rsidRDefault="0088647A" w:rsidP="00130AA8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F739EA">
              <w:rPr>
                <w:rFonts w:ascii="Century Gothic" w:hAnsi="Century Gothic"/>
                <w:sz w:val="18"/>
                <w:szCs w:val="20"/>
              </w:rPr>
              <w:t>Tuesday, April 18th</w:t>
            </w:r>
            <w:r w:rsidR="00130AA8" w:rsidRPr="00F739EA">
              <w:rPr>
                <w:rFonts w:ascii="Century Gothic" w:hAnsi="Century Gothic"/>
                <w:sz w:val="18"/>
                <w:szCs w:val="20"/>
              </w:rPr>
              <w:t xml:space="preserve"> 5:</w:t>
            </w:r>
            <w:r w:rsidRPr="00F739EA">
              <w:rPr>
                <w:rFonts w:ascii="Century Gothic" w:hAnsi="Century Gothic"/>
                <w:sz w:val="18"/>
                <w:szCs w:val="20"/>
              </w:rPr>
              <w:t>00 – 6:0</w:t>
            </w:r>
            <w:r w:rsidR="00130AA8" w:rsidRPr="00F739EA">
              <w:rPr>
                <w:rFonts w:ascii="Century Gothic" w:hAnsi="Century Gothic"/>
                <w:sz w:val="18"/>
                <w:szCs w:val="20"/>
              </w:rPr>
              <w:t>0pm - held in pavilion  (anticipated attendance of 75 people)</w:t>
            </w:r>
          </w:p>
          <w:p w14:paraId="6DA71983" w14:textId="77777777" w:rsidR="00130AA8" w:rsidRPr="00F739EA" w:rsidRDefault="00130AA8" w:rsidP="00130AA8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F739EA">
              <w:rPr>
                <w:rFonts w:ascii="Century Gothic" w:hAnsi="Century Gothic"/>
                <w:sz w:val="18"/>
                <w:szCs w:val="20"/>
              </w:rPr>
              <w:t>2-3 minutes of opening remarks during reception</w:t>
            </w:r>
          </w:p>
          <w:p w14:paraId="572CE680" w14:textId="5B004976" w:rsidR="00413AD4" w:rsidRPr="00F739EA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Featured destination during Exhibit Hall Social Hour</w:t>
            </w:r>
          </w:p>
          <w:p w14:paraId="350F198C" w14:textId="081D3F3E" w:rsidR="0088647A" w:rsidRPr="00F739EA" w:rsidRDefault="0088647A" w:rsidP="0088647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Wednesday, April 19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4:30 – 6:00pm</w:t>
            </w:r>
          </w:p>
          <w:p w14:paraId="0819EF37" w14:textId="5F61C90B" w:rsidR="0056661E" w:rsidRPr="00F739EA" w:rsidRDefault="00C70B4A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Bar </w:t>
            </w:r>
            <w:r w:rsidR="00413AD4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will be strategically placed by overall sponsor’s booth within the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="002D618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Patient Engagement 365</w:t>
            </w:r>
            <w:r w:rsidR="00413AD4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</w:t>
            </w:r>
            <w:r w:rsidR="0056661E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</w:p>
          <w:p w14:paraId="7C7F7E27" w14:textId="77777777" w:rsidR="00E13D5C" w:rsidRPr="00A95AF5" w:rsidRDefault="00E13D5C" w:rsidP="00E13D5C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 w:beforeAutospacing="1" w:after="100" w:afterAutospacing="1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A95AF5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Pr="00A95AF5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Lead Generation: </w:t>
            </w:r>
          </w:p>
          <w:p w14:paraId="6D718D66" w14:textId="70A49850" w:rsidR="00130AA8" w:rsidRPr="000323AE" w:rsidRDefault="00E13D5C" w:rsidP="00F739E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Century Gothic" w:hAnsi="Century Gothic"/>
                <w:sz w:val="20"/>
              </w:rPr>
            </w:pPr>
            <w:r w:rsidRPr="00A95AF5">
              <w:rPr>
                <w:rFonts w:ascii="Century Gothic" w:hAnsi="Century Gothic"/>
                <w:sz w:val="18"/>
              </w:rPr>
              <w:t xml:space="preserve">Lead scanning through </w:t>
            </w:r>
            <w:proofErr w:type="spellStart"/>
            <w:r w:rsidRPr="00A95AF5">
              <w:rPr>
                <w:rFonts w:ascii="Century Gothic" w:hAnsi="Century Gothic"/>
                <w:sz w:val="18"/>
              </w:rPr>
              <w:t>CompuLead</w:t>
            </w:r>
            <w:proofErr w:type="spellEnd"/>
            <w:r w:rsidRPr="00A95AF5">
              <w:rPr>
                <w:rFonts w:ascii="Century Gothic" w:hAnsi="Century Gothic"/>
                <w:sz w:val="18"/>
              </w:rPr>
              <w:t xml:space="preserve"> App</w:t>
            </w:r>
            <w:r w:rsidRPr="00130AA8" w:rsidDel="00E13D5C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13AD4" w14:paraId="5E841DBC" w14:textId="77777777" w:rsidTr="00A4438A">
        <w:tc>
          <w:tcPr>
            <w:tcW w:w="10525" w:type="dxa"/>
            <w:shd w:val="clear" w:color="auto" w:fill="00B0F0"/>
          </w:tcPr>
          <w:p w14:paraId="7CF50314" w14:textId="226B9FC0" w:rsidR="00413AD4" w:rsidRPr="000323AE" w:rsidRDefault="000323AE" w:rsidP="00A8252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Conference Benefits/Access</w:t>
            </w:r>
          </w:p>
        </w:tc>
      </w:tr>
      <w:tr w:rsidR="00413AD4" w14:paraId="4521CF9D" w14:textId="77777777" w:rsidTr="00A4438A">
        <w:tc>
          <w:tcPr>
            <w:tcW w:w="10525" w:type="dxa"/>
            <w:shd w:val="clear" w:color="auto" w:fill="auto"/>
          </w:tcPr>
          <w:p w14:paraId="54C44275" w14:textId="77777777" w:rsidR="000323AE" w:rsidRPr="00F739EA" w:rsidRDefault="000323AE" w:rsidP="000323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HIMSS Conference Supporter (Logo listed on conference website with hyperlink to your home page, logo in various HIMSS Marketing material [pocket, resource guide, etc.], logo displayed in prominent areas onsite</w:t>
            </w:r>
          </w:p>
          <w:p w14:paraId="083662A4" w14:textId="674DC685" w:rsidR="000323AE" w:rsidRPr="00F739EA" w:rsidRDefault="000323AE" w:rsidP="000323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Exhibitor priority points - </w:t>
            </w:r>
            <w:r w:rsidR="004A284C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22</w:t>
            </w:r>
            <w:bookmarkStart w:id="0" w:name="_GoBack"/>
            <w:bookmarkEnd w:id="0"/>
          </w:p>
          <w:p w14:paraId="2972E2C7" w14:textId="5ECC93C6" w:rsidR="000323AE" w:rsidRPr="00F739EA" w:rsidRDefault="000323AE" w:rsidP="000323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Exhibitor/client badges – </w:t>
            </w:r>
            <w:r w:rsidR="00B91EB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14</w:t>
            </w: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(you determine the mix)</w:t>
            </w:r>
          </w:p>
          <w:p w14:paraId="7456E87C" w14:textId="778FD8D7" w:rsidR="00336879" w:rsidRPr="000323AE" w:rsidRDefault="000323AE" w:rsidP="00130AA8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theme="minorHAnsi"/>
              </w:rPr>
            </w:pPr>
            <w:r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Full Conference badges – </w:t>
            </w:r>
            <w:r w:rsidR="00B91EBC" w:rsidRPr="00F739EA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6</w:t>
            </w:r>
          </w:p>
        </w:tc>
      </w:tr>
      <w:tr w:rsidR="000323AE" w:rsidRPr="000323AE" w14:paraId="383619FB" w14:textId="77777777" w:rsidTr="00A4438A">
        <w:tc>
          <w:tcPr>
            <w:tcW w:w="10525" w:type="dxa"/>
            <w:shd w:val="clear" w:color="auto" w:fill="00B0F0"/>
          </w:tcPr>
          <w:p w14:paraId="324C67C7" w14:textId="77777777" w:rsidR="000323AE" w:rsidRPr="000323AE" w:rsidRDefault="000323AE" w:rsidP="00E164B9">
            <w:pPr>
              <w:rPr>
                <w:rFonts w:ascii="Century Gothic" w:hAnsi="Century Gothic"/>
                <w:b/>
              </w:rPr>
            </w:pPr>
            <w:r w:rsidRPr="000323AE">
              <w:rPr>
                <w:rFonts w:ascii="Century Gothic" w:hAnsi="Century Gothic"/>
                <w:b/>
              </w:rPr>
              <w:t>I</w:t>
            </w:r>
            <w:r w:rsidRPr="000323AE">
              <w:rPr>
                <w:rFonts w:ascii="Century Gothic" w:hAnsi="Century Gothic" w:cstheme="minorHAnsi"/>
                <w:b/>
              </w:rPr>
              <w:t>nvestment</w:t>
            </w:r>
          </w:p>
        </w:tc>
      </w:tr>
      <w:tr w:rsidR="000323AE" w:rsidRPr="000323AE" w14:paraId="57A826F8" w14:textId="77777777" w:rsidTr="00A4438A">
        <w:tc>
          <w:tcPr>
            <w:tcW w:w="10525" w:type="dxa"/>
            <w:shd w:val="clear" w:color="auto" w:fill="auto"/>
          </w:tcPr>
          <w:p w14:paraId="524E0D47" w14:textId="77777777" w:rsidR="00130AA8" w:rsidRPr="00F739EA" w:rsidRDefault="00130AA8" w:rsidP="00E164B9">
            <w:pPr>
              <w:rPr>
                <w:rFonts w:ascii="Century Gothic" w:hAnsi="Century Gothic" w:cstheme="minorHAnsi"/>
                <w:sz w:val="18"/>
              </w:rPr>
            </w:pPr>
            <w:r w:rsidRPr="00F739EA">
              <w:rPr>
                <w:rFonts w:ascii="Century Gothic" w:hAnsi="Century Gothic" w:cstheme="minorHAnsi"/>
                <w:sz w:val="18"/>
              </w:rPr>
              <w:t>20 x 20 space:</w:t>
            </w:r>
          </w:p>
          <w:p w14:paraId="0E8F801D" w14:textId="124C2C56" w:rsidR="000323AE" w:rsidRPr="00F739EA" w:rsidRDefault="00F739EA" w:rsidP="00130AA8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  <w:sz w:val="18"/>
              </w:rPr>
            </w:pPr>
            <w:r>
              <w:rPr>
                <w:rFonts w:ascii="Century Gothic" w:hAnsi="Century Gothic" w:cstheme="minorHAnsi"/>
                <w:sz w:val="18"/>
              </w:rPr>
              <w:t>$64,5</w:t>
            </w:r>
            <w:r w:rsidR="000323AE" w:rsidRPr="00F739EA">
              <w:rPr>
                <w:rFonts w:ascii="Century Gothic" w:hAnsi="Century Gothic" w:cstheme="minorHAnsi"/>
                <w:sz w:val="18"/>
              </w:rPr>
              <w:t>00 – Corporate Member Rate</w:t>
            </w:r>
          </w:p>
          <w:p w14:paraId="3232886A" w14:textId="21846F0A" w:rsidR="00130AA8" w:rsidRPr="00130AA8" w:rsidRDefault="00130AA8" w:rsidP="00F739EA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</w:rPr>
            </w:pPr>
            <w:r w:rsidRPr="00F739EA">
              <w:rPr>
                <w:rFonts w:ascii="Century Gothic" w:hAnsi="Century Gothic" w:cstheme="minorHAnsi"/>
                <w:sz w:val="18"/>
              </w:rPr>
              <w:t>$7</w:t>
            </w:r>
            <w:r w:rsidR="00F739EA">
              <w:rPr>
                <w:rFonts w:ascii="Century Gothic" w:hAnsi="Century Gothic" w:cstheme="minorHAnsi"/>
                <w:sz w:val="18"/>
              </w:rPr>
              <w:t>4</w:t>
            </w:r>
            <w:r w:rsidR="000323AE" w:rsidRPr="00F739EA">
              <w:rPr>
                <w:rFonts w:ascii="Century Gothic" w:hAnsi="Century Gothic" w:cstheme="minorHAnsi"/>
                <w:sz w:val="18"/>
              </w:rPr>
              <w:t>,</w:t>
            </w:r>
            <w:r w:rsidR="00F739EA">
              <w:rPr>
                <w:rFonts w:ascii="Century Gothic" w:hAnsi="Century Gothic" w:cstheme="minorHAnsi"/>
                <w:sz w:val="18"/>
              </w:rPr>
              <w:t>5</w:t>
            </w:r>
            <w:r w:rsidR="000323AE" w:rsidRPr="00F739EA">
              <w:rPr>
                <w:rFonts w:ascii="Century Gothic" w:hAnsi="Century Gothic" w:cstheme="minorHAnsi"/>
                <w:sz w:val="18"/>
              </w:rPr>
              <w:t>00 – Non Member Rate</w:t>
            </w:r>
          </w:p>
        </w:tc>
      </w:tr>
      <w:tr w:rsidR="000323AE" w:rsidRPr="000323AE" w14:paraId="3AB645ED" w14:textId="77777777" w:rsidTr="00A4438A">
        <w:tc>
          <w:tcPr>
            <w:tcW w:w="10525" w:type="dxa"/>
            <w:shd w:val="clear" w:color="auto" w:fill="auto"/>
          </w:tcPr>
          <w:p w14:paraId="68EBD77A" w14:textId="2A77886E" w:rsidR="000323AE" w:rsidRPr="00F739EA" w:rsidRDefault="00130AA8" w:rsidP="00E164B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F739EA">
              <w:rPr>
                <w:rFonts w:ascii="Century Gothic" w:hAnsi="Century Gothic" w:cstheme="minorHAnsi"/>
                <w:b/>
                <w:sz w:val="20"/>
                <w:szCs w:val="20"/>
              </w:rPr>
              <w:t>GL:</w:t>
            </w:r>
            <w:r w:rsidR="0039784F" w:rsidRPr="00F739EA">
              <w:rPr>
                <w:rFonts w:ascii="Century Gothic" w:hAnsi="Century Gothic" w:cstheme="minorHAnsi"/>
                <w:sz w:val="20"/>
                <w:szCs w:val="20"/>
              </w:rPr>
              <w:t xml:space="preserve">  401204-3403</w:t>
            </w:r>
          </w:p>
        </w:tc>
      </w:tr>
    </w:tbl>
    <w:p w14:paraId="4A739D70" w14:textId="77777777" w:rsidR="00E13D5C" w:rsidRDefault="00E13D5C" w:rsidP="00E13D5C">
      <w:pPr>
        <w:jc w:val="center"/>
        <w:rPr>
          <w:rFonts w:ascii="Century Gothic" w:hAnsi="Century Gothic"/>
          <w:b/>
        </w:rPr>
      </w:pPr>
    </w:p>
    <w:p w14:paraId="45ADDCC8" w14:textId="50A0F8BF" w:rsidR="00E13D5C" w:rsidRDefault="00E13D5C" w:rsidP="00E13D5C">
      <w:pPr>
        <w:jc w:val="center"/>
        <w:rPr>
          <w:rFonts w:ascii="Century Gothic" w:hAnsi="Century Gothic"/>
        </w:rPr>
      </w:pPr>
      <w:r w:rsidRPr="00C459E7">
        <w:rPr>
          <w:rFonts w:ascii="Century Gothic" w:hAnsi="Century Gothic"/>
          <w:b/>
        </w:rPr>
        <w:t>New For HIMSS23</w:t>
      </w:r>
      <w:r>
        <w:rPr>
          <w:rFonts w:ascii="Century Gothic" w:hAnsi="Century Gothic"/>
        </w:rPr>
        <w:t xml:space="preserve"> – </w:t>
      </w:r>
      <w:r w:rsidRPr="00E378F2">
        <w:rPr>
          <w:rFonts w:ascii="Century Gothic" w:hAnsi="Century Gothic"/>
          <w:b/>
        </w:rPr>
        <w:t>Media Amplification Options</w:t>
      </w: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2140"/>
        <w:gridCol w:w="4020"/>
        <w:gridCol w:w="1600"/>
        <w:gridCol w:w="1640"/>
        <w:gridCol w:w="236"/>
      </w:tblGrid>
      <w:tr w:rsidR="00E13D5C" w:rsidRPr="00A95AF5" w14:paraId="5CB071EF" w14:textId="77777777" w:rsidTr="000121E6">
        <w:trPr>
          <w:trHeight w:val="552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BB701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BRANDING &amp; TRAFFIC DRIVING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6CBF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8486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8D7CE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IMPRESSIONS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0BCC7C" w14:textId="5959579A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E13D5C" w:rsidRPr="00A95AF5" w14:paraId="5664C7C7" w14:textId="77777777" w:rsidTr="000121E6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3AFA3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Digital Display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5BA82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RON - Mix of digital units including High-Impact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0F334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and/or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EF3E6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3F8883" w14:textId="53829FC9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7BB3A4FD" w14:textId="77777777" w:rsidTr="000121E6">
        <w:trPr>
          <w:trHeight w:val="288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1145A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886B297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27E01EE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CCE58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24D95E" w14:textId="5538D0FD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E13D5C" w:rsidRPr="00A95AF5" w14:paraId="7EE70A3C" w14:textId="77777777" w:rsidTr="000121E6">
        <w:trPr>
          <w:trHeight w:val="288"/>
          <w:jc w:val="center"/>
        </w:trPr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D86CE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9614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5D5D4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91B94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923D674" w14:textId="7FB6541F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E13D5C" w:rsidRPr="00A95AF5" w14:paraId="623163FD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0A7CC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MULTIMEDIA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1E44C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01160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660A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FREQUENCY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12897E" w14:textId="10C61DC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E13D5C" w:rsidRPr="00A95AF5" w14:paraId="761B89BB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5CA1D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Podcast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77C8B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Custom Podcast Series: Industry Solutions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1E1AC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6304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0280FF" w14:textId="1B712028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1BFDB643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FB5A2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367D481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Happenings - 2-3 minute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1502BBC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A118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50,000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F2C85F" w14:textId="5DEB4F3C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4590FE8E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5E255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08C75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Escalator Pitch - :60 seconds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46D8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AF032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25,000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5D7652" w14:textId="274B8D2F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36A13AA3" w14:textId="77777777" w:rsidTr="000121E6">
        <w:trPr>
          <w:trHeight w:val="504"/>
          <w:jc w:val="center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827476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BABBC5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C2336E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3BEC02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D9FBE5" w14:textId="18741C7E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E13D5C" w:rsidRPr="00A95AF5" w14:paraId="4DECD24F" w14:textId="77777777" w:rsidTr="000121E6">
        <w:trPr>
          <w:trHeight w:val="288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34CC4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 GENERATION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4D4F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AF8CD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7879F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EAAC9D" w14:textId="3975CE23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</w:p>
        </w:tc>
      </w:tr>
      <w:tr w:rsidR="00E13D5C" w:rsidRPr="00A95AF5" w14:paraId="315CC46B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0149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7062A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45F63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228B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C61693" w14:textId="7771EFAD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</w:p>
        </w:tc>
      </w:tr>
      <w:tr w:rsidR="00E13D5C" w:rsidRPr="00A95AF5" w14:paraId="37787E01" w14:textId="77777777" w:rsidTr="000121E6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80D7E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A85B2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7DF39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B5437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6A98E5" w14:textId="6904AD51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17C7AE8A" w14:textId="77777777" w:rsidTr="000121E6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CD19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6FEAA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49DA6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8D45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687119" w14:textId="7379E4CC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E13D5C" w:rsidRPr="00A95AF5" w14:paraId="43104E0E" w14:textId="77777777" w:rsidTr="000121E6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FB18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7CAA099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37FE088" w14:textId="77777777" w:rsidR="00E13D5C" w:rsidRPr="00A95AF5" w:rsidRDefault="00E13D5C" w:rsidP="0073020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577CE" w14:textId="77777777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61EEBB" w14:textId="264B674A" w:rsidR="00E13D5C" w:rsidRPr="00A95AF5" w:rsidRDefault="00E13D5C" w:rsidP="0073020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</w:tbl>
    <w:p w14:paraId="638F4BEC" w14:textId="77777777" w:rsidR="00E13D5C" w:rsidRPr="00A95AF5" w:rsidRDefault="00E13D5C" w:rsidP="00E13D5C">
      <w:pPr>
        <w:rPr>
          <w:rFonts w:ascii="Century Gothic" w:hAnsi="Century Gothic"/>
        </w:rPr>
      </w:pPr>
    </w:p>
    <w:p w14:paraId="19A5BF4F" w14:textId="77777777" w:rsidR="008679A2" w:rsidRPr="00AA2D51" w:rsidRDefault="008679A2" w:rsidP="00A4438A">
      <w:pPr>
        <w:rPr>
          <w:rFonts w:ascii="Century Gothic" w:hAnsi="Century Gothic"/>
        </w:rPr>
      </w:pPr>
    </w:p>
    <w:sectPr w:rsidR="008679A2" w:rsidRPr="00AA2D51" w:rsidSect="00130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4EA"/>
    <w:multiLevelType w:val="hybridMultilevel"/>
    <w:tmpl w:val="EBA6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7EE7"/>
    <w:multiLevelType w:val="hybridMultilevel"/>
    <w:tmpl w:val="64627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8678F"/>
    <w:multiLevelType w:val="hybridMultilevel"/>
    <w:tmpl w:val="3154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6496"/>
    <w:multiLevelType w:val="multilevel"/>
    <w:tmpl w:val="336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759AA"/>
    <w:multiLevelType w:val="hybridMultilevel"/>
    <w:tmpl w:val="8512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07ED0"/>
    <w:multiLevelType w:val="hybridMultilevel"/>
    <w:tmpl w:val="3658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62F"/>
    <w:multiLevelType w:val="hybridMultilevel"/>
    <w:tmpl w:val="393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1FD3"/>
    <w:multiLevelType w:val="hybridMultilevel"/>
    <w:tmpl w:val="614AD914"/>
    <w:lvl w:ilvl="0" w:tplc="9844F1F8">
      <w:start w:val="2"/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D80A3D"/>
    <w:multiLevelType w:val="hybridMultilevel"/>
    <w:tmpl w:val="EC7E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725CF"/>
    <w:multiLevelType w:val="multilevel"/>
    <w:tmpl w:val="84B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3731"/>
    <w:multiLevelType w:val="hybridMultilevel"/>
    <w:tmpl w:val="3FAA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B49A4"/>
    <w:multiLevelType w:val="hybridMultilevel"/>
    <w:tmpl w:val="DB9C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6E4C"/>
    <w:multiLevelType w:val="hybridMultilevel"/>
    <w:tmpl w:val="76700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C2062"/>
    <w:multiLevelType w:val="hybridMultilevel"/>
    <w:tmpl w:val="1A1C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600FC"/>
    <w:multiLevelType w:val="hybridMultilevel"/>
    <w:tmpl w:val="44C4A386"/>
    <w:lvl w:ilvl="0" w:tplc="5B1A46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3499"/>
    <w:multiLevelType w:val="hybridMultilevel"/>
    <w:tmpl w:val="239E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3151"/>
    <w:multiLevelType w:val="multilevel"/>
    <w:tmpl w:val="57F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E7B16"/>
    <w:multiLevelType w:val="hybridMultilevel"/>
    <w:tmpl w:val="872A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086A8C"/>
    <w:multiLevelType w:val="hybridMultilevel"/>
    <w:tmpl w:val="9A3A2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6B6A23"/>
    <w:multiLevelType w:val="hybridMultilevel"/>
    <w:tmpl w:val="24842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39554A"/>
    <w:multiLevelType w:val="hybridMultilevel"/>
    <w:tmpl w:val="A000C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2728A"/>
    <w:multiLevelType w:val="hybridMultilevel"/>
    <w:tmpl w:val="3420163A"/>
    <w:lvl w:ilvl="0" w:tplc="8F1CAAFC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18"/>
  </w:num>
  <w:num w:numId="7">
    <w:abstractNumId w:val="17"/>
  </w:num>
  <w:num w:numId="8">
    <w:abstractNumId w:val="1"/>
  </w:num>
  <w:num w:numId="9">
    <w:abstractNumId w:val="3"/>
  </w:num>
  <w:num w:numId="10">
    <w:abstractNumId w:val="16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15"/>
  </w:num>
  <w:num w:numId="16">
    <w:abstractNumId w:val="19"/>
  </w:num>
  <w:num w:numId="17">
    <w:abstractNumId w:val="11"/>
  </w:num>
  <w:num w:numId="18">
    <w:abstractNumId w:val="2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C5"/>
    <w:rsid w:val="000121E6"/>
    <w:rsid w:val="000323AE"/>
    <w:rsid w:val="000611CC"/>
    <w:rsid w:val="00081E16"/>
    <w:rsid w:val="00130AA8"/>
    <w:rsid w:val="00173E5A"/>
    <w:rsid w:val="0017723A"/>
    <w:rsid w:val="001C7748"/>
    <w:rsid w:val="001D03E8"/>
    <w:rsid w:val="002D618C"/>
    <w:rsid w:val="00300782"/>
    <w:rsid w:val="00336879"/>
    <w:rsid w:val="0039784F"/>
    <w:rsid w:val="003E6DB9"/>
    <w:rsid w:val="00413AD4"/>
    <w:rsid w:val="004A284C"/>
    <w:rsid w:val="0056661E"/>
    <w:rsid w:val="00757CC4"/>
    <w:rsid w:val="007610FA"/>
    <w:rsid w:val="008679A2"/>
    <w:rsid w:val="0088647A"/>
    <w:rsid w:val="008B28BA"/>
    <w:rsid w:val="009B0AF7"/>
    <w:rsid w:val="009C5504"/>
    <w:rsid w:val="00A4438A"/>
    <w:rsid w:val="00A6142A"/>
    <w:rsid w:val="00A82520"/>
    <w:rsid w:val="00AA2D51"/>
    <w:rsid w:val="00AD11B9"/>
    <w:rsid w:val="00B91EBC"/>
    <w:rsid w:val="00C572C1"/>
    <w:rsid w:val="00C70B4A"/>
    <w:rsid w:val="00D8206F"/>
    <w:rsid w:val="00E077C5"/>
    <w:rsid w:val="00E13D5C"/>
    <w:rsid w:val="00EC2264"/>
    <w:rsid w:val="00F739EA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9BF2"/>
  <w15:chartTrackingRefBased/>
  <w15:docId w15:val="{284A98B9-C0A2-40AC-A658-9A58A9F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BA744CC0864380E3556D9655A953" ma:contentTypeVersion="9" ma:contentTypeDescription="Create a new document." ma:contentTypeScope="" ma:versionID="c488fd437a2f9a8d50490c424f078411">
  <xsd:schema xmlns:xsd="http://www.w3.org/2001/XMLSchema" xmlns:xs="http://www.w3.org/2001/XMLSchema" xmlns:p="http://schemas.microsoft.com/office/2006/metadata/properties" xmlns:ns3="a256a083-1696-4b0f-b244-43bd1704f97a" targetNamespace="http://schemas.microsoft.com/office/2006/metadata/properties" ma:root="true" ma:fieldsID="1001ba487b4585e5cb12af3771e31a7c" ns3:_="">
    <xsd:import namespace="a256a083-1696-4b0f-b244-43bd1704f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a083-1696-4b0f-b244-43bd1704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A99F4-F5E9-44FB-BCA5-CD5F8E297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6a083-1696-4b0f-b244-43bd1704f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579A6-1D75-4649-8A27-7D8B534F8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E80AD-FD10-48F5-BE81-D0970F1DC97B}">
  <ds:schemaRefs>
    <ds:schemaRef ds:uri="http://schemas.microsoft.com/office/infopath/2007/PartnerControls"/>
    <ds:schemaRef ds:uri="http://purl.org/dc/elements/1.1/"/>
    <ds:schemaRef ds:uri="http://purl.org/dc/terms/"/>
    <ds:schemaRef ds:uri="a256a083-1696-4b0f-b244-43bd1704f97a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HIMSS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Laura</dc:creator>
  <cp:keywords/>
  <dc:description/>
  <cp:lastModifiedBy>Goodwin, Laura</cp:lastModifiedBy>
  <cp:revision>3</cp:revision>
  <dcterms:created xsi:type="dcterms:W3CDTF">2022-06-09T19:46:00Z</dcterms:created>
  <dcterms:modified xsi:type="dcterms:W3CDTF">2022-06-09T19:55:00Z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0x01010017F5BA744CC0864380E3556D9655A953</vt:lpwstr>
  </property>
</Properties>
</file>